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5D9ABE" w14:textId="77777777" w:rsidR="001F6ECC" w:rsidRDefault="00A84929" w:rsidP="00895F42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contextualSpacing/>
        <w:jc w:val="center"/>
        <w:rPr>
          <w:rFonts w:ascii="Calibri" w:hAnsi="Calibri"/>
          <w:b/>
          <w:bCs/>
          <w:color w:val="000000"/>
          <w:sz w:val="22"/>
        </w:rPr>
      </w:pPr>
      <w:r w:rsidRPr="001F6ECC">
        <w:rPr>
          <w:rFonts w:ascii="Calibri" w:hAnsi="Calibri"/>
          <w:b/>
          <w:bCs/>
          <w:color w:val="000000"/>
          <w:sz w:val="22"/>
        </w:rPr>
        <w:t xml:space="preserve">Stanowisko </w:t>
      </w:r>
    </w:p>
    <w:p w14:paraId="46649147" w14:textId="77777777" w:rsidR="001F6ECC" w:rsidRDefault="00A84929" w:rsidP="00895F42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contextualSpacing/>
        <w:jc w:val="center"/>
        <w:rPr>
          <w:rFonts w:ascii="Calibri" w:hAnsi="Calibri"/>
          <w:b/>
          <w:bCs/>
          <w:color w:val="000000"/>
          <w:sz w:val="22"/>
        </w:rPr>
      </w:pPr>
      <w:r w:rsidRPr="001F6ECC">
        <w:rPr>
          <w:rFonts w:ascii="Calibri" w:hAnsi="Calibri"/>
          <w:b/>
          <w:bCs/>
          <w:color w:val="000000"/>
          <w:sz w:val="22"/>
        </w:rPr>
        <w:t>Rady Dzielnicy Ursynów m.st. Warszawy</w:t>
      </w:r>
    </w:p>
    <w:p w14:paraId="00000001" w14:textId="6C063D24" w:rsidR="00F54DCE" w:rsidRPr="001F6ECC" w:rsidRDefault="00A84929" w:rsidP="00895F42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jc w:val="center"/>
        <w:rPr>
          <w:rFonts w:ascii="Calibri" w:hAnsi="Calibri"/>
          <w:b/>
          <w:bCs/>
          <w:color w:val="000000"/>
          <w:sz w:val="22"/>
        </w:rPr>
      </w:pPr>
      <w:r w:rsidRPr="001F6ECC">
        <w:rPr>
          <w:rFonts w:ascii="Calibri" w:hAnsi="Calibri"/>
          <w:b/>
          <w:bCs/>
          <w:color w:val="000000"/>
          <w:sz w:val="22"/>
        </w:rPr>
        <w:t xml:space="preserve"> z dnia 13 stycznia 2026 r.</w:t>
      </w:r>
      <w:r w:rsidRPr="001F6ECC">
        <w:rPr>
          <w:rFonts w:ascii="Calibri" w:hAnsi="Calibri"/>
          <w:b/>
          <w:bCs/>
          <w:color w:val="000000"/>
          <w:sz w:val="22"/>
        </w:rPr>
        <w:br/>
        <w:t xml:space="preserve">w sprawie planów zagospodarowania terenu po byłym hipermarkecie Tesco na Kabatach, położonego na działce przy al. Komisji Edukacji Narodowej 14, w bezpośrednim sąsiedztwie stacji </w:t>
      </w:r>
      <w:r w:rsidRPr="001F6ECC">
        <w:rPr>
          <w:rFonts w:ascii="Calibri" w:hAnsi="Calibri"/>
          <w:b/>
          <w:bCs/>
          <w:color w:val="000000"/>
          <w:sz w:val="22"/>
        </w:rPr>
        <w:t>metra Kabaty</w:t>
      </w:r>
    </w:p>
    <w:p w14:paraId="00000002" w14:textId="6D73A06A" w:rsidR="00F54DCE" w:rsidRPr="001F6ECC" w:rsidRDefault="00A84929" w:rsidP="00895F42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rFonts w:ascii="Calibri" w:hAnsi="Calibri"/>
          <w:color w:val="000000"/>
          <w:sz w:val="22"/>
        </w:rPr>
      </w:pPr>
      <w:r w:rsidRPr="001F6ECC">
        <w:rPr>
          <w:rFonts w:ascii="Calibri" w:hAnsi="Calibri"/>
          <w:color w:val="000000"/>
          <w:sz w:val="22"/>
        </w:rPr>
        <w:t>Na podstawie § 13 ust. 1 pkt 8 oraz § 24 pkt 2 Statutu Dzielnicy Ursynów m.st. Warszawy, stanowiącego załącznik nr 12 do uchwały Nr LXX/2182/2010 Rady m.st. Warszawy z dnia 14 stycznia 2010 r. w sprawie nadania statutów dzielnicom miasta stołe</w:t>
      </w:r>
      <w:r w:rsidRPr="001F6ECC">
        <w:rPr>
          <w:rFonts w:ascii="Calibri" w:hAnsi="Calibri"/>
          <w:color w:val="000000"/>
          <w:sz w:val="22"/>
        </w:rPr>
        <w:t>cznego Warszawy</w:t>
      </w:r>
      <w:r w:rsidR="008C2C70">
        <w:rPr>
          <w:rFonts w:ascii="Calibri" w:hAnsi="Calibri"/>
          <w:color w:val="000000"/>
          <w:sz w:val="22"/>
        </w:rPr>
        <w:t xml:space="preserve"> </w:t>
      </w:r>
      <w:r w:rsidR="008C2C70" w:rsidRPr="00B62557">
        <w:rPr>
          <w:rFonts w:ascii="Calibri" w:hAnsi="Calibri" w:cs="Calibri"/>
        </w:rPr>
        <w:t xml:space="preserve">(Dz. Urz. Woj. </w:t>
      </w:r>
      <w:proofErr w:type="spellStart"/>
      <w:r w:rsidR="008C2C70" w:rsidRPr="00B62557">
        <w:rPr>
          <w:rFonts w:ascii="Calibri" w:hAnsi="Calibri" w:cs="Calibri"/>
        </w:rPr>
        <w:t>Maz</w:t>
      </w:r>
      <w:proofErr w:type="spellEnd"/>
      <w:r w:rsidR="008C2C70" w:rsidRPr="00B62557">
        <w:rPr>
          <w:rFonts w:ascii="Calibri" w:hAnsi="Calibri" w:cs="Calibri"/>
        </w:rPr>
        <w:t>. z 2022 r. poz. 9305)</w:t>
      </w:r>
      <w:r w:rsidR="008C2C70">
        <w:rPr>
          <w:rFonts w:ascii="Calibri" w:hAnsi="Calibri" w:cs="Calibri"/>
        </w:rPr>
        <w:t xml:space="preserve">, </w:t>
      </w:r>
      <w:r w:rsidRPr="001F6ECC">
        <w:rPr>
          <w:rFonts w:ascii="Calibri" w:hAnsi="Calibri"/>
          <w:color w:val="000000"/>
          <w:sz w:val="22"/>
        </w:rPr>
        <w:t>Rada Dzielnicy Ursynów m.st. Warszawy zajmuje następujące stanowisko:</w:t>
      </w:r>
    </w:p>
    <w:p w14:paraId="00000004" w14:textId="54A08CD0" w:rsidR="00F54DCE" w:rsidRPr="00895F42" w:rsidRDefault="00A84929" w:rsidP="00895F42">
      <w:pPr>
        <w:pStyle w:val="Bezodstpw"/>
        <w:ind w:firstLine="567"/>
        <w:rPr>
          <w:rFonts w:asciiTheme="minorHAnsi" w:hAnsiTheme="minorHAnsi"/>
        </w:rPr>
      </w:pPr>
      <w:r w:rsidRPr="001F6ECC">
        <w:rPr>
          <w:rFonts w:asciiTheme="minorHAnsi" w:hAnsiTheme="minorHAnsi"/>
        </w:rPr>
        <w:t>§ 1.</w:t>
      </w:r>
      <w:r w:rsidR="007E2D29" w:rsidRPr="001F6ECC">
        <w:rPr>
          <w:rFonts w:asciiTheme="minorHAnsi" w:hAnsiTheme="minorHAnsi"/>
        </w:rPr>
        <w:t xml:space="preserve"> </w:t>
      </w:r>
      <w:r w:rsidRPr="001F6ECC">
        <w:rPr>
          <w:rFonts w:asciiTheme="minorHAnsi" w:hAnsiTheme="minorHAnsi"/>
        </w:rPr>
        <w:t>Rada Dzielnicy Ursynów m.st. Warszawy wyraża stanowczy sprzeciw wobec przedstawionej</w:t>
      </w:r>
      <w:r w:rsidRPr="00895F42">
        <w:rPr>
          <w:rFonts w:asciiTheme="minorHAnsi" w:hAnsiTheme="minorHAnsi"/>
        </w:rPr>
        <w:t xml:space="preserve"> koncepcji zagospodarowan</w:t>
      </w:r>
      <w:r w:rsidRPr="00895F42">
        <w:rPr>
          <w:rFonts w:asciiTheme="minorHAnsi" w:hAnsiTheme="minorHAnsi"/>
        </w:rPr>
        <w:t xml:space="preserve">ia terenu po byłym hipermarkecie Tesco na Kabatach, położonego na działce przy Al. Komisji Edukacji Narodowej 14, przedstawionej we wniosku z dnia 25.11.2025 r. złożonym przez inwestora - Projekt Echo </w:t>
      </w:r>
      <w:r w:rsidR="00B532C4" w:rsidRPr="00895F42">
        <w:rPr>
          <w:rFonts w:asciiTheme="minorHAnsi" w:hAnsiTheme="minorHAnsi"/>
        </w:rPr>
        <w:t>-</w:t>
      </w:r>
      <w:r w:rsidRPr="00895F42">
        <w:rPr>
          <w:rFonts w:asciiTheme="minorHAnsi" w:hAnsiTheme="minorHAnsi"/>
        </w:rPr>
        <w:t xml:space="preserve"> 143 Sp. z o.o. - do Rady m.st. Warszawy o ustalenie l</w:t>
      </w:r>
      <w:r w:rsidRPr="00895F42">
        <w:rPr>
          <w:rFonts w:asciiTheme="minorHAnsi" w:hAnsiTheme="minorHAnsi"/>
        </w:rPr>
        <w:t>okalizacji inwestycji mieszkaniowej i towarzyszącej dotycz</w:t>
      </w:r>
      <w:r w:rsidR="00B532C4" w:rsidRPr="00895F42">
        <w:rPr>
          <w:rFonts w:asciiTheme="minorHAnsi" w:hAnsiTheme="minorHAnsi"/>
        </w:rPr>
        <w:t>ąc</w:t>
      </w:r>
      <w:r w:rsidRPr="00895F42">
        <w:rPr>
          <w:rFonts w:asciiTheme="minorHAnsi" w:hAnsiTheme="minorHAnsi"/>
        </w:rPr>
        <w:t>ej realizacji:</w:t>
      </w:r>
    </w:p>
    <w:p w14:paraId="00000005" w14:textId="77777777" w:rsidR="00F54DCE" w:rsidRPr="00895F42" w:rsidRDefault="00A84929" w:rsidP="005707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42" w:firstLine="709"/>
        <w:rPr>
          <w:rFonts w:asciiTheme="minorHAnsi" w:eastAsia="Times New Roman" w:hAnsiTheme="minorHAnsi" w:cs="Times New Roman"/>
          <w:sz w:val="22"/>
        </w:rPr>
      </w:pPr>
      <w:r w:rsidRPr="00895F42">
        <w:rPr>
          <w:rFonts w:asciiTheme="minorHAnsi" w:eastAsia="Times New Roman" w:hAnsiTheme="minorHAnsi" w:cs="Times New Roman"/>
          <w:sz w:val="22"/>
        </w:rPr>
        <w:t>inwestycji mieszkaniowej polegającej na:</w:t>
      </w:r>
    </w:p>
    <w:p w14:paraId="00000006" w14:textId="77777777" w:rsidR="00F54DCE" w:rsidRPr="00895F42" w:rsidRDefault="00A84929" w:rsidP="005707E9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42"/>
        <w:rPr>
          <w:rFonts w:asciiTheme="minorHAnsi" w:eastAsia="Times New Roman" w:hAnsiTheme="minorHAnsi" w:cs="Times New Roman"/>
          <w:sz w:val="22"/>
        </w:rPr>
      </w:pPr>
      <w:r w:rsidRPr="00895F42">
        <w:rPr>
          <w:rFonts w:asciiTheme="minorHAnsi" w:eastAsia="Times New Roman" w:hAnsiTheme="minorHAnsi" w:cs="Times New Roman"/>
          <w:sz w:val="22"/>
        </w:rPr>
        <w:t>budowie budynków mieszkalnych wielorodzinnych z usługami w parterze i w części podziemnej, wraz z garażami, infrastrukturą techniczną oraz z</w:t>
      </w:r>
      <w:r w:rsidRPr="00895F42">
        <w:rPr>
          <w:rFonts w:asciiTheme="minorHAnsi" w:eastAsia="Times New Roman" w:hAnsiTheme="minorHAnsi" w:cs="Times New Roman"/>
          <w:sz w:val="22"/>
        </w:rPr>
        <w:t xml:space="preserve">agospodarowaniem terenu na części działki nr </w:t>
      </w:r>
      <w:proofErr w:type="spellStart"/>
      <w:r w:rsidRPr="00895F42">
        <w:rPr>
          <w:rFonts w:asciiTheme="minorHAnsi" w:eastAsia="Times New Roman" w:hAnsiTheme="minorHAnsi" w:cs="Times New Roman"/>
          <w:sz w:val="22"/>
        </w:rPr>
        <w:t>ewid</w:t>
      </w:r>
      <w:proofErr w:type="spellEnd"/>
      <w:r w:rsidRPr="00895F42">
        <w:rPr>
          <w:rFonts w:asciiTheme="minorHAnsi" w:eastAsia="Times New Roman" w:hAnsiTheme="minorHAnsi" w:cs="Times New Roman"/>
          <w:sz w:val="22"/>
        </w:rPr>
        <w:t xml:space="preserve">. 126, z obrębu 1-11-13 przy al. Komisji Edukacji Narodowej i ul. Jerzego </w:t>
      </w:r>
      <w:proofErr w:type="spellStart"/>
      <w:r w:rsidRPr="00895F42">
        <w:rPr>
          <w:rFonts w:asciiTheme="minorHAnsi" w:eastAsia="Times New Roman" w:hAnsiTheme="minorHAnsi" w:cs="Times New Roman"/>
          <w:sz w:val="22"/>
        </w:rPr>
        <w:t>Iwanowa-Szajnowicza</w:t>
      </w:r>
      <w:proofErr w:type="spellEnd"/>
      <w:r w:rsidRPr="00895F42">
        <w:rPr>
          <w:rFonts w:asciiTheme="minorHAnsi" w:eastAsia="Times New Roman" w:hAnsiTheme="minorHAnsi" w:cs="Times New Roman"/>
          <w:sz w:val="22"/>
        </w:rPr>
        <w:t>;</w:t>
      </w:r>
    </w:p>
    <w:p w14:paraId="00000007" w14:textId="77777777" w:rsidR="00F54DCE" w:rsidRPr="00895F42" w:rsidRDefault="00A84929" w:rsidP="005707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firstLine="131"/>
        <w:rPr>
          <w:rFonts w:asciiTheme="minorHAnsi" w:eastAsia="Times New Roman" w:hAnsiTheme="minorHAnsi" w:cs="Times New Roman"/>
          <w:sz w:val="22"/>
        </w:rPr>
      </w:pPr>
      <w:r w:rsidRPr="00895F42">
        <w:rPr>
          <w:rFonts w:asciiTheme="minorHAnsi" w:eastAsia="Times New Roman" w:hAnsiTheme="minorHAnsi" w:cs="Times New Roman"/>
          <w:sz w:val="22"/>
        </w:rPr>
        <w:t>inwestycji towarzyszącej polegającej na:</w:t>
      </w:r>
    </w:p>
    <w:p w14:paraId="00000008" w14:textId="720DE965" w:rsidR="00F54DCE" w:rsidRPr="00895F42" w:rsidRDefault="00A84929" w:rsidP="00895F42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rFonts w:asciiTheme="minorHAnsi" w:eastAsia="Times New Roman" w:hAnsiTheme="minorHAnsi" w:cs="Times New Roman"/>
          <w:sz w:val="22"/>
        </w:rPr>
      </w:pPr>
      <w:r w:rsidRPr="00895F42">
        <w:rPr>
          <w:rFonts w:asciiTheme="minorHAnsi" w:eastAsia="Times New Roman" w:hAnsiTheme="minorHAnsi" w:cs="Times New Roman"/>
          <w:sz w:val="22"/>
        </w:rPr>
        <w:t>przebudowie al. Komisji Edukacji Narodowej, wraz z zagospodarowaniem te</w:t>
      </w:r>
      <w:r w:rsidRPr="00895F42">
        <w:rPr>
          <w:rFonts w:asciiTheme="minorHAnsi" w:eastAsia="Times New Roman" w:hAnsiTheme="minorHAnsi" w:cs="Times New Roman"/>
          <w:sz w:val="22"/>
        </w:rPr>
        <w:t xml:space="preserve">renu, ciągami pieszo-rowerowymi, elementami małej architektury i infrastrukturą techniczną, na części działek nr </w:t>
      </w:r>
      <w:proofErr w:type="spellStart"/>
      <w:r w:rsidRPr="00895F42">
        <w:rPr>
          <w:rFonts w:asciiTheme="minorHAnsi" w:eastAsia="Times New Roman" w:hAnsiTheme="minorHAnsi" w:cs="Times New Roman"/>
          <w:sz w:val="22"/>
        </w:rPr>
        <w:t>ewid</w:t>
      </w:r>
      <w:proofErr w:type="spellEnd"/>
      <w:r w:rsidRPr="00895F42">
        <w:rPr>
          <w:rFonts w:asciiTheme="minorHAnsi" w:eastAsia="Times New Roman" w:hAnsiTheme="minorHAnsi" w:cs="Times New Roman"/>
          <w:sz w:val="22"/>
        </w:rPr>
        <w:t xml:space="preserve">. 1/1, 2/1, 2/2, 2/5 z obrębu 1-11-13 oraz na działkach nr </w:t>
      </w:r>
      <w:proofErr w:type="spellStart"/>
      <w:r w:rsidRPr="00895F42">
        <w:rPr>
          <w:rFonts w:asciiTheme="minorHAnsi" w:eastAsia="Times New Roman" w:hAnsiTheme="minorHAnsi" w:cs="Times New Roman"/>
          <w:sz w:val="22"/>
        </w:rPr>
        <w:t>ewid</w:t>
      </w:r>
      <w:proofErr w:type="spellEnd"/>
      <w:r w:rsidRPr="00895F42">
        <w:rPr>
          <w:rFonts w:asciiTheme="minorHAnsi" w:eastAsia="Times New Roman" w:hAnsiTheme="minorHAnsi" w:cs="Times New Roman"/>
          <w:sz w:val="22"/>
        </w:rPr>
        <w:t>. 56/17, 56/38, 56/39, 56/40, 56/41, 56/42, 56/43, 56/47, 56/48, 56/49 z obr</w:t>
      </w:r>
      <w:r w:rsidRPr="00895F42">
        <w:rPr>
          <w:rFonts w:asciiTheme="minorHAnsi" w:eastAsia="Times New Roman" w:hAnsiTheme="minorHAnsi" w:cs="Times New Roman"/>
          <w:sz w:val="22"/>
        </w:rPr>
        <w:t xml:space="preserve">ębu 1-11-12, oraz nr </w:t>
      </w:r>
      <w:proofErr w:type="spellStart"/>
      <w:r w:rsidRPr="00895F42">
        <w:rPr>
          <w:rFonts w:asciiTheme="minorHAnsi" w:eastAsia="Times New Roman" w:hAnsiTheme="minorHAnsi" w:cs="Times New Roman"/>
          <w:sz w:val="22"/>
        </w:rPr>
        <w:t>ewid</w:t>
      </w:r>
      <w:proofErr w:type="spellEnd"/>
      <w:r w:rsidRPr="00895F42">
        <w:rPr>
          <w:rFonts w:asciiTheme="minorHAnsi" w:eastAsia="Times New Roman" w:hAnsiTheme="minorHAnsi" w:cs="Times New Roman"/>
          <w:sz w:val="22"/>
        </w:rPr>
        <w:t>. 1/2, 1/3, 1/4, 1/5, 1/39, 1/40, 1/41, 1/42, 1/43, 1/44, 1/45, 1/47, 1/49, 5/2, 5/4, 5/5, 5/6, 5/7, 5/8, 5/9, 5/10, 5/11 z obrębu  1-11-13,  położonych w dzielnicy Ursynów m.st. Warszawy</w:t>
      </w:r>
      <w:r w:rsidR="00B532C4" w:rsidRPr="00895F42">
        <w:rPr>
          <w:rFonts w:asciiTheme="minorHAnsi" w:eastAsia="Times New Roman" w:hAnsiTheme="minorHAnsi" w:cs="Times New Roman"/>
          <w:sz w:val="22"/>
        </w:rPr>
        <w:t>,</w:t>
      </w:r>
    </w:p>
    <w:p w14:paraId="0000000A" w14:textId="31B8F257" w:rsidR="00F54DCE" w:rsidRPr="00895F42" w:rsidRDefault="00A84929" w:rsidP="00895F42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rFonts w:asciiTheme="minorHAnsi" w:eastAsia="Times New Roman" w:hAnsiTheme="minorHAnsi" w:cs="Times New Roman"/>
          <w:sz w:val="22"/>
        </w:rPr>
      </w:pPr>
      <w:r w:rsidRPr="00895F42">
        <w:rPr>
          <w:rFonts w:asciiTheme="minorHAnsi" w:eastAsia="Times New Roman" w:hAnsiTheme="minorHAnsi" w:cs="Times New Roman"/>
          <w:sz w:val="22"/>
        </w:rPr>
        <w:t>w ramach procedury tzw. specustawy mieszka</w:t>
      </w:r>
      <w:r w:rsidRPr="00895F42">
        <w:rPr>
          <w:rFonts w:asciiTheme="minorHAnsi" w:eastAsia="Times New Roman" w:hAnsiTheme="minorHAnsi" w:cs="Times New Roman"/>
          <w:sz w:val="22"/>
        </w:rPr>
        <w:t>niowej z 5 lipca 2018 r. o ułatwieniach w przygotowaniu i realizacji inwestycji mieszkaniowych oraz inwestycji towarzyszących (lex deweloper).</w:t>
      </w:r>
    </w:p>
    <w:p w14:paraId="0000000B" w14:textId="493F3B21" w:rsidR="00F54DCE" w:rsidRPr="00895F42" w:rsidRDefault="00A84929" w:rsidP="00895F42">
      <w:pPr>
        <w:pStyle w:val="Bezodstpw"/>
        <w:ind w:firstLine="567"/>
        <w:contextualSpacing w:val="0"/>
        <w:rPr>
          <w:rFonts w:asciiTheme="minorHAnsi" w:hAnsiTheme="minorHAnsi"/>
        </w:rPr>
      </w:pPr>
      <w:r w:rsidRPr="00895F42">
        <w:rPr>
          <w:rFonts w:asciiTheme="minorHAnsi" w:hAnsiTheme="minorHAnsi"/>
        </w:rPr>
        <w:t>§ 2.</w:t>
      </w:r>
      <w:r w:rsidR="00B532C4" w:rsidRPr="00895F42">
        <w:rPr>
          <w:rFonts w:asciiTheme="minorHAnsi" w:hAnsiTheme="minorHAnsi"/>
        </w:rPr>
        <w:t xml:space="preserve"> </w:t>
      </w:r>
      <w:r w:rsidRPr="00895F42">
        <w:rPr>
          <w:rFonts w:asciiTheme="minorHAnsi" w:hAnsiTheme="minorHAnsi"/>
        </w:rPr>
        <w:t xml:space="preserve">Rada Dzielnicy Ursynów m.st. Warszawy stwierdza, że planowana inwestycja, w kształcie przedstawionym przez </w:t>
      </w:r>
      <w:r w:rsidRPr="00895F42">
        <w:rPr>
          <w:rFonts w:asciiTheme="minorHAnsi" w:hAnsiTheme="minorHAnsi"/>
        </w:rPr>
        <w:t>inwestora w 2025 r. w toku procedury przewidzianej specustawą</w:t>
      </w:r>
      <w:r w:rsidRPr="00895F42">
        <w:rPr>
          <w:rFonts w:asciiTheme="minorHAnsi" w:hAnsiTheme="minorHAnsi"/>
        </w:rPr>
        <w:t xml:space="preserve"> mieszkaniową, nie odpowiada na rzeczywiste potrzeby mieszkańców Ursynowa oraz może prowadzić do istotnego i długotrwałego pogorszenia warunków życia w tej części dzielnicy, w szczególności w zak</w:t>
      </w:r>
      <w:r w:rsidRPr="00895F42">
        <w:rPr>
          <w:rFonts w:asciiTheme="minorHAnsi" w:hAnsiTheme="minorHAnsi"/>
        </w:rPr>
        <w:t xml:space="preserve">resie: </w:t>
      </w:r>
    </w:p>
    <w:p w14:paraId="0000000C" w14:textId="77777777" w:rsidR="00F54DCE" w:rsidRPr="00895F42" w:rsidRDefault="00A84929" w:rsidP="00895F42">
      <w:pPr>
        <w:pStyle w:val="Bezodstpw"/>
        <w:numPr>
          <w:ilvl w:val="1"/>
          <w:numId w:val="1"/>
        </w:numPr>
        <w:ind w:left="851" w:hanging="273"/>
        <w:rPr>
          <w:rFonts w:asciiTheme="minorHAnsi" w:hAnsiTheme="minorHAnsi"/>
        </w:rPr>
      </w:pPr>
      <w:r w:rsidRPr="00895F42">
        <w:rPr>
          <w:rFonts w:asciiTheme="minorHAnsi" w:hAnsiTheme="minorHAnsi"/>
        </w:rPr>
        <w:t>dostępności miejsc parkingowych,</w:t>
      </w:r>
    </w:p>
    <w:p w14:paraId="0000000D" w14:textId="77777777" w:rsidR="00F54DCE" w:rsidRPr="001F6ECC" w:rsidRDefault="00A84929" w:rsidP="00895F42">
      <w:pPr>
        <w:pStyle w:val="Bezodstpw"/>
        <w:numPr>
          <w:ilvl w:val="1"/>
          <w:numId w:val="1"/>
        </w:numPr>
        <w:ind w:left="851" w:hanging="273"/>
      </w:pPr>
      <w:r w:rsidRPr="00895F42">
        <w:rPr>
          <w:rFonts w:asciiTheme="minorHAnsi" w:hAnsiTheme="minorHAnsi"/>
        </w:rPr>
        <w:t>niedopasowania skali i wysokości zabudowy do otoczenia</w:t>
      </w:r>
      <w:r w:rsidRPr="001F6ECC">
        <w:rPr>
          <w:color w:val="000000"/>
        </w:rPr>
        <w:t>,</w:t>
      </w:r>
    </w:p>
    <w:p w14:paraId="0000000E" w14:textId="77777777" w:rsidR="00F54DCE" w:rsidRPr="00895F42" w:rsidRDefault="00A84929" w:rsidP="00895F42">
      <w:pPr>
        <w:pStyle w:val="Bezodstpw"/>
        <w:numPr>
          <w:ilvl w:val="1"/>
          <w:numId w:val="1"/>
        </w:numPr>
        <w:ind w:left="851" w:hanging="273"/>
        <w:rPr>
          <w:rFonts w:asciiTheme="minorHAnsi" w:hAnsiTheme="minorHAnsi"/>
        </w:rPr>
      </w:pPr>
      <w:r w:rsidRPr="00895F42">
        <w:rPr>
          <w:rFonts w:asciiTheme="minorHAnsi" w:hAnsiTheme="minorHAnsi"/>
        </w:rPr>
        <w:t>nadmiernego obciążenia lokalnego układu komunikacyjnego,</w:t>
      </w:r>
    </w:p>
    <w:p w14:paraId="0000000F" w14:textId="77777777" w:rsidR="00F54DCE" w:rsidRPr="00895F42" w:rsidRDefault="00A84929" w:rsidP="00895F42">
      <w:pPr>
        <w:pStyle w:val="Bezodstpw"/>
        <w:numPr>
          <w:ilvl w:val="1"/>
          <w:numId w:val="1"/>
        </w:numPr>
        <w:ind w:left="851" w:hanging="273"/>
        <w:rPr>
          <w:rFonts w:asciiTheme="minorHAnsi" w:hAnsiTheme="minorHAnsi"/>
        </w:rPr>
      </w:pPr>
      <w:r w:rsidRPr="00895F42">
        <w:rPr>
          <w:rFonts w:asciiTheme="minorHAnsi" w:hAnsiTheme="minorHAnsi"/>
        </w:rPr>
        <w:t>niedostatecznego udziału funkcji usługowych i ogólnodostępnych w projekcie.</w:t>
      </w:r>
    </w:p>
    <w:p w14:paraId="00000010" w14:textId="0FCFE735" w:rsidR="00F54DCE" w:rsidRPr="00895F42" w:rsidRDefault="00A84929" w:rsidP="008C2C70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firstLine="578"/>
        <w:rPr>
          <w:rFonts w:asciiTheme="minorHAnsi" w:eastAsia="Calibri" w:hAnsiTheme="minorHAnsi" w:cs="Times New Roman"/>
          <w:sz w:val="22"/>
          <w:szCs w:val="22"/>
          <w:lang w:eastAsia="en-US"/>
        </w:rPr>
      </w:pPr>
      <w:r w:rsidRPr="00895F42">
        <w:rPr>
          <w:rFonts w:asciiTheme="minorHAnsi" w:eastAsia="Calibri" w:hAnsiTheme="minorHAnsi" w:cs="Times New Roman"/>
          <w:sz w:val="22"/>
          <w:szCs w:val="22"/>
          <w:lang w:eastAsia="en-US"/>
        </w:rPr>
        <w:t>§ 3.</w:t>
      </w:r>
      <w:r w:rsidR="00C67C27" w:rsidRPr="00895F42">
        <w:rPr>
          <w:rFonts w:asciiTheme="minorHAnsi" w:eastAsia="Calibri" w:hAnsiTheme="minorHAnsi" w:cs="Times New Roman"/>
          <w:sz w:val="22"/>
          <w:szCs w:val="22"/>
          <w:lang w:eastAsia="en-US"/>
        </w:rPr>
        <w:t xml:space="preserve"> </w:t>
      </w:r>
      <w:r w:rsidRPr="00895F42">
        <w:rPr>
          <w:rFonts w:asciiTheme="minorHAnsi" w:eastAsia="Calibri" w:hAnsiTheme="minorHAnsi" w:cs="Times New Roman"/>
          <w:sz w:val="22"/>
          <w:szCs w:val="22"/>
          <w:lang w:eastAsia="en-US"/>
        </w:rPr>
        <w:t xml:space="preserve">Rada Dzielnicy </w:t>
      </w:r>
      <w:r w:rsidRPr="00895F42">
        <w:rPr>
          <w:rFonts w:asciiTheme="minorHAnsi" w:eastAsia="Calibri" w:hAnsiTheme="minorHAnsi" w:cs="Times New Roman"/>
          <w:sz w:val="22"/>
          <w:szCs w:val="22"/>
          <w:lang w:eastAsia="en-US"/>
        </w:rPr>
        <w:t>Ursynów m.st. Warszawy popiera postulaty mieszkańców Ursynowa oraz uwagi zgłaszane w ramach konsultacji społecznych do Biura Architektury i Planowania Przestrzennego</w:t>
      </w:r>
      <w:r w:rsidRPr="00895F42">
        <w:rPr>
          <w:rFonts w:asciiTheme="minorHAnsi" w:eastAsia="Calibri" w:hAnsiTheme="minorHAnsi" w:cs="Times New Roman"/>
          <w:sz w:val="22"/>
          <w:szCs w:val="22"/>
          <w:lang w:eastAsia="en-US"/>
        </w:rPr>
        <w:t xml:space="preserve"> Urzędu m.st. Warszawy, dotyczące konieczności zasadniczej modyfikacji projektu inwestycji </w:t>
      </w:r>
      <w:r w:rsidRPr="00895F42">
        <w:rPr>
          <w:rFonts w:asciiTheme="minorHAnsi" w:eastAsia="Calibri" w:hAnsiTheme="minorHAnsi" w:cs="Times New Roman"/>
          <w:sz w:val="22"/>
          <w:szCs w:val="22"/>
          <w:lang w:eastAsia="en-US"/>
        </w:rPr>
        <w:t xml:space="preserve">i uznaje je za warunek niezbędny do dalszego procedowania tej sprawy, w szczególności poprzez: </w:t>
      </w:r>
    </w:p>
    <w:p w14:paraId="00000011" w14:textId="77777777" w:rsidR="00F54DCE" w:rsidRPr="00895F42" w:rsidRDefault="00A84929" w:rsidP="00895F42">
      <w:pPr>
        <w:pStyle w:val="Bezodstpw"/>
        <w:numPr>
          <w:ilvl w:val="1"/>
          <w:numId w:val="4"/>
        </w:numPr>
        <w:ind w:left="851" w:hanging="284"/>
        <w:rPr>
          <w:rFonts w:asciiTheme="minorHAnsi" w:hAnsiTheme="minorHAnsi"/>
        </w:rPr>
      </w:pPr>
      <w:r w:rsidRPr="00895F42">
        <w:rPr>
          <w:rFonts w:asciiTheme="minorHAnsi" w:hAnsiTheme="minorHAnsi"/>
        </w:rPr>
        <w:t>znaczące zwiększenie liczby miejsc parkingowych, uwzględni</w:t>
      </w:r>
      <w:r w:rsidRPr="00895F42">
        <w:rPr>
          <w:rFonts w:asciiTheme="minorHAnsi" w:hAnsiTheme="minorHAnsi"/>
        </w:rPr>
        <w:t xml:space="preserve">ające </w:t>
      </w:r>
      <w:r w:rsidRPr="00895F42">
        <w:rPr>
          <w:rFonts w:asciiTheme="minorHAnsi" w:hAnsiTheme="minorHAnsi"/>
        </w:rPr>
        <w:t>realne</w:t>
      </w:r>
      <w:r w:rsidRPr="00895F42">
        <w:rPr>
          <w:rFonts w:asciiTheme="minorHAnsi" w:hAnsiTheme="minorHAnsi"/>
        </w:rPr>
        <w:t xml:space="preserve"> </w:t>
      </w:r>
      <w:r w:rsidRPr="00895F42">
        <w:rPr>
          <w:rFonts w:asciiTheme="minorHAnsi" w:hAnsiTheme="minorHAnsi"/>
        </w:rPr>
        <w:t>potrzeby obecnych i przyszłych mieszkańców,</w:t>
      </w:r>
    </w:p>
    <w:p w14:paraId="00000012" w14:textId="77777777" w:rsidR="00F54DCE" w:rsidRPr="00895F42" w:rsidRDefault="00A84929" w:rsidP="00895F42">
      <w:pPr>
        <w:pStyle w:val="Bezodstpw"/>
        <w:numPr>
          <w:ilvl w:val="1"/>
          <w:numId w:val="4"/>
        </w:numPr>
        <w:ind w:left="851" w:hanging="273"/>
        <w:rPr>
          <w:rFonts w:asciiTheme="minorHAnsi" w:hAnsiTheme="minorHAnsi"/>
        </w:rPr>
      </w:pPr>
      <w:r w:rsidRPr="00895F42">
        <w:rPr>
          <w:rFonts w:asciiTheme="minorHAnsi" w:hAnsiTheme="minorHAnsi"/>
        </w:rPr>
        <w:t>obniżenie wysokości i intensywności planowane</w:t>
      </w:r>
      <w:r w:rsidRPr="00895F42">
        <w:rPr>
          <w:rFonts w:asciiTheme="minorHAnsi" w:hAnsiTheme="minorHAnsi"/>
        </w:rPr>
        <w:t>j zabudowy mieszkaniowej,</w:t>
      </w:r>
    </w:p>
    <w:p w14:paraId="00000013" w14:textId="77777777" w:rsidR="00F54DCE" w:rsidRPr="00895F42" w:rsidRDefault="00A84929" w:rsidP="00895F42">
      <w:pPr>
        <w:pStyle w:val="Bezodstpw"/>
        <w:numPr>
          <w:ilvl w:val="1"/>
          <w:numId w:val="4"/>
        </w:numPr>
        <w:ind w:left="851" w:hanging="273"/>
        <w:rPr>
          <w:rFonts w:asciiTheme="minorHAnsi" w:hAnsiTheme="minorHAnsi"/>
        </w:rPr>
      </w:pPr>
      <w:r w:rsidRPr="00895F42">
        <w:rPr>
          <w:rFonts w:asciiTheme="minorHAnsi" w:hAnsiTheme="minorHAnsi"/>
        </w:rPr>
        <w:t>zapewnienie większego udziału usług publicznych i komercyjnych w planowanej zabudowie</w:t>
      </w:r>
      <w:r w:rsidRPr="00895F42">
        <w:rPr>
          <w:rFonts w:asciiTheme="minorHAnsi" w:hAnsiTheme="minorHAnsi"/>
        </w:rPr>
        <w:t xml:space="preserve">, </w:t>
      </w:r>
      <w:r w:rsidRPr="00895F42">
        <w:rPr>
          <w:rFonts w:asciiTheme="minorHAnsi" w:hAnsiTheme="minorHAnsi"/>
        </w:rPr>
        <w:t>odpowiadających potrzebom lokalnej społeczności,</w:t>
      </w:r>
    </w:p>
    <w:p w14:paraId="00000014" w14:textId="77777777" w:rsidR="00F54DCE" w:rsidRPr="00895F42" w:rsidRDefault="00A84929" w:rsidP="00D158B8">
      <w:pPr>
        <w:pStyle w:val="Bezodstpw"/>
        <w:numPr>
          <w:ilvl w:val="1"/>
          <w:numId w:val="4"/>
        </w:numPr>
        <w:ind w:left="850" w:hanging="272"/>
        <w:contextualSpacing w:val="0"/>
        <w:rPr>
          <w:rFonts w:asciiTheme="minorHAnsi" w:hAnsiTheme="minorHAnsi"/>
        </w:rPr>
      </w:pPr>
      <w:r w:rsidRPr="00895F42">
        <w:rPr>
          <w:rFonts w:asciiTheme="minorHAnsi" w:hAnsiTheme="minorHAnsi"/>
        </w:rPr>
        <w:t>zagwarantowanie wysokiej jakości przestrzeni publicznych oraz zieleni, w tym rzeczywiście ogól</w:t>
      </w:r>
      <w:r w:rsidRPr="00895F42">
        <w:rPr>
          <w:rFonts w:asciiTheme="minorHAnsi" w:hAnsiTheme="minorHAnsi"/>
        </w:rPr>
        <w:t>nodostępnych przestrzeni miejskich o funkcjach społecznych, kulturalnych i rekreacyjnych.</w:t>
      </w:r>
    </w:p>
    <w:p w14:paraId="00000015" w14:textId="68AA780B" w:rsidR="00F54DCE" w:rsidRPr="001F6ECC" w:rsidRDefault="00A84929" w:rsidP="00D158B8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firstLine="578"/>
        <w:rPr>
          <w:rFonts w:ascii="Calibri" w:hAnsi="Calibri"/>
          <w:color w:val="000000"/>
          <w:sz w:val="22"/>
        </w:rPr>
      </w:pPr>
      <w:r w:rsidRPr="001F6ECC">
        <w:rPr>
          <w:rFonts w:ascii="Calibri" w:hAnsi="Calibri"/>
          <w:color w:val="000000"/>
          <w:sz w:val="22"/>
        </w:rPr>
        <w:t>§ 4.</w:t>
      </w:r>
      <w:r w:rsidR="006C3A7A" w:rsidRPr="001F6ECC">
        <w:rPr>
          <w:rFonts w:ascii="Calibri" w:hAnsi="Calibri"/>
          <w:color w:val="000000"/>
          <w:sz w:val="22"/>
        </w:rPr>
        <w:t xml:space="preserve"> </w:t>
      </w:r>
      <w:r w:rsidRPr="001F6ECC">
        <w:rPr>
          <w:rFonts w:ascii="Calibri" w:hAnsi="Calibri"/>
          <w:color w:val="000000"/>
          <w:sz w:val="22"/>
        </w:rPr>
        <w:t xml:space="preserve">Rada Dzielnicy Ursynów m.st. Warszawy wzywa Radę m.st. Warszawy oraz Biuro Architektury i Planowania Przestrzennego Urzędu m.st. Warszawy do uwzględnienia </w:t>
      </w:r>
      <w:r w:rsidRPr="001F6ECC">
        <w:rPr>
          <w:rFonts w:ascii="Calibri" w:hAnsi="Calibri"/>
          <w:color w:val="000000"/>
          <w:sz w:val="22"/>
        </w:rPr>
        <w:t>licznych uwag zgłoszonych przez mieszkańców Kabat w toku konsultacji społecznych prowadzonych do dnia 18 grudnia 2025 r. oraz do</w:t>
      </w:r>
      <w:r w:rsidRPr="001F6ECC">
        <w:rPr>
          <w:rFonts w:ascii="Calibri" w:hAnsi="Calibri"/>
          <w:sz w:val="22"/>
        </w:rPr>
        <w:t xml:space="preserve"> odrzucenia wniosku inwestora o ustalenie lokalizacji </w:t>
      </w:r>
      <w:r w:rsidRPr="001F6ECC">
        <w:rPr>
          <w:rFonts w:ascii="Calibri" w:hAnsi="Calibri"/>
          <w:color w:val="000000"/>
          <w:sz w:val="22"/>
        </w:rPr>
        <w:t>inwestycji w przedsta</w:t>
      </w:r>
      <w:r w:rsidRPr="001F6ECC">
        <w:rPr>
          <w:rFonts w:ascii="Calibri" w:hAnsi="Calibri"/>
          <w:sz w:val="22"/>
        </w:rPr>
        <w:t xml:space="preserve">wionym </w:t>
      </w:r>
      <w:r w:rsidRPr="001F6ECC">
        <w:rPr>
          <w:rFonts w:ascii="Calibri" w:hAnsi="Calibri"/>
          <w:color w:val="000000"/>
          <w:sz w:val="22"/>
        </w:rPr>
        <w:t>kształcie.</w:t>
      </w:r>
    </w:p>
    <w:p w14:paraId="00000016" w14:textId="1D98ED9D" w:rsidR="00F54DCE" w:rsidRPr="001F6ECC" w:rsidRDefault="00A84929" w:rsidP="00D158B8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firstLine="578"/>
        <w:rPr>
          <w:rFonts w:ascii="Calibri" w:hAnsi="Calibri"/>
          <w:color w:val="000000"/>
          <w:sz w:val="22"/>
        </w:rPr>
      </w:pPr>
      <w:r w:rsidRPr="001F6ECC">
        <w:rPr>
          <w:rFonts w:ascii="Calibri" w:hAnsi="Calibri"/>
          <w:color w:val="000000"/>
          <w:sz w:val="22"/>
        </w:rPr>
        <w:t>§ 5.</w:t>
      </w:r>
      <w:r w:rsidR="006C3A7A" w:rsidRPr="001F6ECC">
        <w:rPr>
          <w:rFonts w:ascii="Calibri" w:hAnsi="Calibri"/>
          <w:color w:val="000000"/>
          <w:sz w:val="22"/>
        </w:rPr>
        <w:t xml:space="preserve"> </w:t>
      </w:r>
      <w:r w:rsidRPr="001F6ECC">
        <w:rPr>
          <w:rFonts w:ascii="Calibri" w:hAnsi="Calibri"/>
          <w:color w:val="000000"/>
          <w:sz w:val="22"/>
        </w:rPr>
        <w:t>Rada Dzielnicy Ursynów m.st. W</w:t>
      </w:r>
      <w:r w:rsidRPr="001F6ECC">
        <w:rPr>
          <w:rFonts w:ascii="Calibri" w:hAnsi="Calibri"/>
          <w:color w:val="000000"/>
          <w:sz w:val="22"/>
        </w:rPr>
        <w:t xml:space="preserve">arszawy wzywa Zarząd Dzielnicy Ursynów m.st. Warszawy do podjęcia intensywnego i transparentnego dialogu z inwestorem w celu wypracowania zmodyfikowanej koncepcji zagospodarowania terenu, uwzględniającej postulaty mieszkańców Kabat oraz </w:t>
      </w:r>
      <w:r w:rsidR="00A931D8" w:rsidRPr="001F6ECC">
        <w:rPr>
          <w:rFonts w:ascii="Calibri" w:hAnsi="Calibri"/>
          <w:color w:val="000000"/>
          <w:sz w:val="22"/>
        </w:rPr>
        <w:t xml:space="preserve">niniejsze </w:t>
      </w:r>
      <w:r w:rsidRPr="001F6ECC">
        <w:rPr>
          <w:rFonts w:ascii="Calibri" w:hAnsi="Calibri"/>
          <w:color w:val="000000"/>
          <w:sz w:val="22"/>
        </w:rPr>
        <w:t>stanowisk</w:t>
      </w:r>
      <w:r w:rsidRPr="001F6ECC">
        <w:rPr>
          <w:rFonts w:ascii="Calibri" w:hAnsi="Calibri"/>
          <w:color w:val="000000"/>
          <w:sz w:val="22"/>
        </w:rPr>
        <w:t>o Rady Dzielnicy Ursynów, w s</w:t>
      </w:r>
      <w:r w:rsidRPr="001F6ECC">
        <w:rPr>
          <w:rFonts w:ascii="Calibri" w:hAnsi="Calibri"/>
          <w:sz w:val="22"/>
        </w:rPr>
        <w:t>ytuacji dalszej chęci realizacji inwestycji przez inwestora w trybie specustawy mieszkaniowej</w:t>
      </w:r>
      <w:r w:rsidRPr="001F6ECC">
        <w:rPr>
          <w:rFonts w:ascii="Calibri" w:hAnsi="Calibri"/>
          <w:color w:val="000000"/>
          <w:sz w:val="22"/>
        </w:rPr>
        <w:t>.</w:t>
      </w:r>
    </w:p>
    <w:p w14:paraId="00000017" w14:textId="5E7960F2" w:rsidR="00F54DCE" w:rsidRPr="001F6ECC" w:rsidRDefault="00A84929" w:rsidP="00D158B8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firstLine="578"/>
        <w:rPr>
          <w:rFonts w:ascii="Calibri" w:hAnsi="Calibri"/>
          <w:color w:val="000000"/>
          <w:sz w:val="22"/>
        </w:rPr>
      </w:pPr>
      <w:r w:rsidRPr="001F6ECC">
        <w:rPr>
          <w:rFonts w:ascii="Calibri" w:hAnsi="Calibri"/>
          <w:color w:val="000000"/>
          <w:sz w:val="22"/>
        </w:rPr>
        <w:t>§ 6.</w:t>
      </w:r>
      <w:r w:rsidR="00A931D8" w:rsidRPr="001F6ECC">
        <w:rPr>
          <w:rFonts w:ascii="Calibri" w:hAnsi="Calibri"/>
          <w:color w:val="000000"/>
          <w:sz w:val="22"/>
        </w:rPr>
        <w:t xml:space="preserve"> </w:t>
      </w:r>
      <w:r w:rsidRPr="001F6ECC">
        <w:rPr>
          <w:rFonts w:ascii="Calibri" w:hAnsi="Calibri"/>
          <w:color w:val="000000"/>
          <w:sz w:val="22"/>
        </w:rPr>
        <w:t xml:space="preserve">Stanowisko podlega przekazaniu Radzie m.st. Warszawy, Prezydentowi m.st. Warszawy, Biuru Architektury i Planowania </w:t>
      </w:r>
      <w:r w:rsidRPr="001F6ECC">
        <w:rPr>
          <w:rFonts w:ascii="Calibri" w:hAnsi="Calibri"/>
          <w:color w:val="000000"/>
          <w:sz w:val="22"/>
        </w:rPr>
        <w:t>Przestrzennego m.st. Warszawy oraz Zarządowi Dzielnicy Ursynów m.st. Warszawy.</w:t>
      </w:r>
    </w:p>
    <w:p w14:paraId="00000018" w14:textId="535487B2" w:rsidR="00F54DCE" w:rsidRPr="001F6ECC" w:rsidRDefault="00A84929" w:rsidP="00D158B8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firstLine="578"/>
        <w:rPr>
          <w:rFonts w:ascii="Calibri" w:hAnsi="Calibri"/>
          <w:color w:val="000000"/>
          <w:sz w:val="22"/>
        </w:rPr>
      </w:pPr>
      <w:r w:rsidRPr="001F6ECC">
        <w:rPr>
          <w:rFonts w:ascii="Calibri" w:hAnsi="Calibri"/>
          <w:color w:val="000000"/>
          <w:sz w:val="22"/>
        </w:rPr>
        <w:t>§ 7.</w:t>
      </w:r>
      <w:r w:rsidR="00A931D8" w:rsidRPr="001F6ECC">
        <w:rPr>
          <w:rFonts w:ascii="Calibri" w:hAnsi="Calibri"/>
          <w:color w:val="000000"/>
          <w:sz w:val="22"/>
        </w:rPr>
        <w:t xml:space="preserve"> </w:t>
      </w:r>
      <w:r w:rsidRPr="001F6ECC">
        <w:rPr>
          <w:rFonts w:ascii="Calibri" w:hAnsi="Calibri"/>
          <w:color w:val="000000"/>
          <w:sz w:val="22"/>
        </w:rPr>
        <w:t>Stanowisko wchodzi</w:t>
      </w:r>
      <w:r w:rsidRPr="001F6ECC">
        <w:rPr>
          <w:rFonts w:ascii="Calibri" w:hAnsi="Calibri"/>
          <w:color w:val="000000"/>
          <w:sz w:val="22"/>
        </w:rPr>
        <w:t xml:space="preserve"> w życie z dniem podjęcia.</w:t>
      </w:r>
    </w:p>
    <w:p w14:paraId="00000019" w14:textId="77777777" w:rsidR="00F54DCE" w:rsidRPr="001F6ECC" w:rsidRDefault="00F54DCE" w:rsidP="00895F42">
      <w:pPr>
        <w:spacing w:after="0" w:line="300" w:lineRule="auto"/>
        <w:rPr>
          <w:rFonts w:ascii="Calibri" w:hAnsi="Calibri"/>
          <w:sz w:val="22"/>
        </w:rPr>
      </w:pPr>
    </w:p>
    <w:p w14:paraId="6454B470" w14:textId="4990CBF2" w:rsidR="00A931D8" w:rsidRDefault="00A931D8" w:rsidP="00895F42">
      <w:pPr>
        <w:spacing w:after="0" w:line="300" w:lineRule="auto"/>
        <w:rPr>
          <w:rFonts w:ascii="Calibri" w:hAnsi="Calibri"/>
          <w:sz w:val="22"/>
        </w:rPr>
      </w:pPr>
    </w:p>
    <w:p w14:paraId="52ECDFC0" w14:textId="6450A49C" w:rsidR="00D158B8" w:rsidRDefault="00D158B8" w:rsidP="00895F42">
      <w:pPr>
        <w:spacing w:after="0" w:line="300" w:lineRule="auto"/>
        <w:rPr>
          <w:rFonts w:ascii="Calibri" w:hAnsi="Calibri"/>
          <w:sz w:val="22"/>
        </w:rPr>
      </w:pPr>
    </w:p>
    <w:p w14:paraId="04C7E90A" w14:textId="0443DB7C" w:rsidR="00D158B8" w:rsidRDefault="00D158B8" w:rsidP="00895F42">
      <w:pPr>
        <w:spacing w:after="0" w:line="300" w:lineRule="auto"/>
        <w:rPr>
          <w:rFonts w:ascii="Calibri" w:hAnsi="Calibri"/>
          <w:sz w:val="22"/>
        </w:rPr>
      </w:pPr>
    </w:p>
    <w:p w14:paraId="5BE439A9" w14:textId="44F82CD1" w:rsidR="00D158B8" w:rsidRDefault="00D158B8" w:rsidP="00895F42">
      <w:pPr>
        <w:spacing w:after="0" w:line="300" w:lineRule="auto"/>
        <w:rPr>
          <w:rFonts w:ascii="Calibri" w:hAnsi="Calibri"/>
          <w:sz w:val="22"/>
        </w:rPr>
      </w:pPr>
    </w:p>
    <w:p w14:paraId="0000001A" w14:textId="77777777" w:rsidR="00F54DCE" w:rsidRPr="001F6ECC" w:rsidRDefault="00A84929" w:rsidP="00D158B8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jc w:val="center"/>
        <w:rPr>
          <w:rFonts w:ascii="Calibri" w:hAnsi="Calibri"/>
          <w:color w:val="000000"/>
          <w:sz w:val="22"/>
        </w:rPr>
      </w:pPr>
      <w:bookmarkStart w:id="0" w:name="_GoBack"/>
      <w:bookmarkEnd w:id="0"/>
      <w:r w:rsidRPr="001F6ECC">
        <w:rPr>
          <w:rFonts w:ascii="Calibri" w:hAnsi="Calibri"/>
          <w:b/>
          <w:bCs/>
          <w:color w:val="000000"/>
          <w:sz w:val="22"/>
        </w:rPr>
        <w:t>Uzasadnienie</w:t>
      </w:r>
    </w:p>
    <w:p w14:paraId="0000001B" w14:textId="77777777" w:rsidR="00F54DCE" w:rsidRPr="001F6ECC" w:rsidRDefault="00A84929" w:rsidP="00D158B8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rFonts w:ascii="Calibri" w:hAnsi="Calibri"/>
          <w:color w:val="000000"/>
          <w:sz w:val="22"/>
        </w:rPr>
      </w:pPr>
      <w:r w:rsidRPr="001F6ECC">
        <w:rPr>
          <w:rFonts w:ascii="Calibri" w:hAnsi="Calibri"/>
          <w:color w:val="000000"/>
          <w:sz w:val="22"/>
        </w:rPr>
        <w:t>Teren po byłym hipermarkecie Tesco na Kabatach, położony przy al. Komisji Edukacji Narodowej w bezpośrednim sąsi</w:t>
      </w:r>
      <w:r w:rsidRPr="001F6ECC">
        <w:rPr>
          <w:rFonts w:ascii="Calibri" w:hAnsi="Calibri"/>
          <w:color w:val="000000"/>
          <w:sz w:val="22"/>
        </w:rPr>
        <w:t>edztwie stacji metra Kabaty, stanowi jeden z kluczowych obszarów wymagających przemyślanego i odpowiedzialnego zagospodarowania z punktu widzenia interesu lokalnej społeczności. Kabaty są obszarem o ukształtowanej strukturze urbanistycznej, ograniczonych m</w:t>
      </w:r>
      <w:r w:rsidRPr="001F6ECC">
        <w:rPr>
          <w:rFonts w:ascii="Calibri" w:hAnsi="Calibri"/>
          <w:color w:val="000000"/>
          <w:sz w:val="22"/>
        </w:rPr>
        <w:t>ożliwościach komunikacyjnych oraz wysokiej intensywności użytkowania przestrzeni publicznych.</w:t>
      </w:r>
    </w:p>
    <w:p w14:paraId="0000001C" w14:textId="4ADE7ED4" w:rsidR="00F54DCE" w:rsidRPr="001F6ECC" w:rsidRDefault="00A84929" w:rsidP="00D158B8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rFonts w:ascii="Calibri" w:hAnsi="Calibri"/>
          <w:color w:val="000000"/>
          <w:sz w:val="22"/>
        </w:rPr>
      </w:pPr>
      <w:r w:rsidRPr="001F6ECC">
        <w:rPr>
          <w:rFonts w:ascii="Calibri" w:hAnsi="Calibri"/>
          <w:color w:val="000000"/>
          <w:sz w:val="22"/>
        </w:rPr>
        <w:t xml:space="preserve">Przedstawiona przez Projekt Echo </w:t>
      </w:r>
      <w:r w:rsidR="00CB314E" w:rsidRPr="001F6ECC">
        <w:rPr>
          <w:rFonts w:ascii="Calibri" w:hAnsi="Calibri"/>
          <w:color w:val="000000"/>
          <w:sz w:val="22"/>
        </w:rPr>
        <w:t xml:space="preserve">- </w:t>
      </w:r>
      <w:r w:rsidRPr="001F6ECC">
        <w:rPr>
          <w:rFonts w:ascii="Calibri" w:hAnsi="Calibri"/>
          <w:color w:val="000000"/>
          <w:sz w:val="22"/>
        </w:rPr>
        <w:t>143 Sp. z o.o. koncepcja zabudowy zakłada realizację 11 budynków mieszkalnych o wysokości do 11 kondygnacji, obejmujących ok. 3</w:t>
      </w:r>
      <w:r w:rsidRPr="001F6ECC">
        <w:rPr>
          <w:rFonts w:ascii="Calibri" w:hAnsi="Calibri"/>
          <w:color w:val="000000"/>
          <w:sz w:val="22"/>
        </w:rPr>
        <w:t xml:space="preserve">80–410 mieszkań o powierzchni użytkowej mieszkań w przedziale 24 500 – 25 750 m². Skala i intensywność tej zabudowy są nieadekwatne do charakteru osiedla Kabaty i budzą uzasadnione oraz powszechne obawy mieszkańców dotyczące nadmiernej wysokości zabudowy, </w:t>
      </w:r>
      <w:r w:rsidRPr="001F6ECC">
        <w:rPr>
          <w:rFonts w:ascii="Calibri" w:hAnsi="Calibri"/>
          <w:color w:val="000000"/>
          <w:sz w:val="22"/>
        </w:rPr>
        <w:t>niewystarczającej liczby miejsc parkingowych oraz dalszego, nieakceptowalnego przeciążenia lokalnego układu drogowego. Zgłaszane w toku konsultacji i debat publicznych postulaty wskazują jednoznacznie, że planowana inwestycja w obecnym kształcie może negat</w:t>
      </w:r>
      <w:r w:rsidRPr="001F6ECC">
        <w:rPr>
          <w:rFonts w:ascii="Calibri" w:hAnsi="Calibri"/>
          <w:color w:val="000000"/>
          <w:sz w:val="22"/>
        </w:rPr>
        <w:t>ywnie wpłynąć na komfort życia mieszkańców Kabat.</w:t>
      </w:r>
    </w:p>
    <w:p w14:paraId="0000001D" w14:textId="77777777" w:rsidR="00F54DCE" w:rsidRPr="001F6ECC" w:rsidRDefault="00A84929" w:rsidP="00D158B8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rFonts w:ascii="Calibri" w:hAnsi="Calibri"/>
          <w:color w:val="000000"/>
          <w:sz w:val="22"/>
        </w:rPr>
      </w:pPr>
      <w:r w:rsidRPr="001F6ECC">
        <w:rPr>
          <w:rFonts w:ascii="Calibri" w:hAnsi="Calibri"/>
          <w:color w:val="000000"/>
          <w:sz w:val="22"/>
        </w:rPr>
        <w:t xml:space="preserve">Rada Dzielnicy Ursynów m.st. Warszawy uznaje za konieczne wyraźne opowiedzenie się po stronie mieszkańców i podkreślenie, że rozwój zabudowy mieszkaniowej powinien iść w parze z odpowiednią infrastrukturą, </w:t>
      </w:r>
      <w:r w:rsidRPr="001F6ECC">
        <w:rPr>
          <w:rFonts w:ascii="Calibri" w:hAnsi="Calibri"/>
          <w:color w:val="000000"/>
          <w:sz w:val="22"/>
        </w:rPr>
        <w:t>usługami, zielenią oraz realnym bilansem miejsc parkingowych i rozwiązań komunikacyjnych, w tym przebudową kluczowych skrzyżowań w rejonie inwestycji. Tylko taka zmodyfikowana koncepcja może zapewnić harmonijny i zrównoważony rozwój tej części Ursynowa.</w:t>
      </w:r>
    </w:p>
    <w:p w14:paraId="0000001E" w14:textId="77777777" w:rsidR="00F54DCE" w:rsidRPr="001F6ECC" w:rsidRDefault="00A84929" w:rsidP="00895F42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rFonts w:ascii="Calibri" w:hAnsi="Calibri"/>
          <w:color w:val="000000"/>
          <w:sz w:val="22"/>
        </w:rPr>
      </w:pPr>
      <w:r w:rsidRPr="001F6ECC">
        <w:rPr>
          <w:rFonts w:ascii="Calibri" w:hAnsi="Calibri"/>
          <w:color w:val="000000"/>
          <w:sz w:val="22"/>
        </w:rPr>
        <w:t>Pr</w:t>
      </w:r>
      <w:r w:rsidRPr="001F6ECC">
        <w:rPr>
          <w:rFonts w:ascii="Calibri" w:hAnsi="Calibri"/>
          <w:color w:val="000000"/>
          <w:sz w:val="22"/>
        </w:rPr>
        <w:t>zyjęcie niniejszego stanowiska ma na celu wysłanie jednoznacznego i czytelnego sygnału do mieszkańców Kabat, władz m.st. Warszawy oraz inwestora, że Rada Dzielnicy Ursynów stoi po stronie lokalnej społeczności i nie akceptuje realizacji inwestycji w obecny</w:t>
      </w:r>
      <w:r w:rsidRPr="001F6ECC">
        <w:rPr>
          <w:rFonts w:ascii="Calibri" w:hAnsi="Calibri"/>
          <w:color w:val="000000"/>
          <w:sz w:val="22"/>
        </w:rPr>
        <w:t>m kształcie.</w:t>
      </w:r>
    </w:p>
    <w:sectPr w:rsidR="00F54DCE" w:rsidRPr="001F6ECC">
      <w:pgSz w:w="12240" w:h="15840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00995F07-0942-42D2-BD2E-CC5BA60B19E3}"/>
    <w:embedBold r:id="rId2" w:fontKey="{1C64E304-931F-43BA-A069-CB22E261E62D}"/>
    <w:embedItalic r:id="rId3" w:fontKey="{78B35F69-599C-406A-B110-0FDC75AE9970}"/>
  </w:font>
  <w:font w:name="Play">
    <w:charset w:val="00"/>
    <w:family w:val="auto"/>
    <w:pitch w:val="default"/>
    <w:embedRegular r:id="rId4" w:fontKey="{D3B4756F-9A1B-4723-8472-CF095C77FC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71B80E0-64A2-4407-90C7-1B3083BC6E1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82A1035-7E3C-48F5-B8B3-9DC799C96E71}"/>
    <w:embedBold r:id="rId7" w:fontKey="{573C699E-3E30-4FD3-95D8-4D00DFEF8EC1}"/>
    <w:embedItalic r:id="rId8" w:fontKey="{A2C6D730-3638-4DA4-B5D1-1A3E92027593}"/>
    <w:embedBoldItalic r:id="rId9" w:fontKey="{1EFAFD63-7776-4AF9-AF6C-E188512E4F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3967757-3E79-40BD-939D-FB68CAA515EA}"/>
    <w:embedBold r:id="rId11" w:fontKey="{1C99B5FB-0F5F-4329-999A-A7C8405C57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848DA"/>
    <w:multiLevelType w:val="multilevel"/>
    <w:tmpl w:val="3BC4522A"/>
    <w:lvl w:ilvl="0">
      <w:start w:val="2"/>
      <w:numFmt w:val="upperRoman"/>
      <w:lvlText w:val="%1."/>
      <w:lvlJc w:val="right"/>
      <w:pPr>
        <w:ind w:left="720" w:hanging="360"/>
      </w:pPr>
    </w:lvl>
    <w:lvl w:ilvl="1">
      <w:start w:val="1"/>
      <w:numFmt w:val="upperRoman"/>
      <w:lvlText w:val="%2."/>
      <w:lvlJc w:val="right"/>
      <w:pPr>
        <w:ind w:left="1440" w:hanging="360"/>
      </w:pPr>
    </w:lvl>
    <w:lvl w:ilvl="2">
      <w:start w:val="1"/>
      <w:numFmt w:val="upperRoman"/>
      <w:lvlText w:val="%3."/>
      <w:lvlJc w:val="right"/>
      <w:pPr>
        <w:ind w:left="2160" w:hanging="360"/>
      </w:pPr>
    </w:lvl>
    <w:lvl w:ilvl="3">
      <w:start w:val="1"/>
      <w:numFmt w:val="upperRoman"/>
      <w:lvlText w:val="%4."/>
      <w:lvlJc w:val="right"/>
      <w:pPr>
        <w:ind w:left="2880" w:hanging="360"/>
      </w:pPr>
    </w:lvl>
    <w:lvl w:ilvl="4">
      <w:start w:val="1"/>
      <w:numFmt w:val="upperRoman"/>
      <w:lvlText w:val="%5."/>
      <w:lvlJc w:val="right"/>
      <w:pPr>
        <w:ind w:left="3600" w:hanging="360"/>
      </w:pPr>
    </w:lvl>
    <w:lvl w:ilvl="5">
      <w:start w:val="1"/>
      <w:numFmt w:val="upperRoman"/>
      <w:lvlText w:val="%6."/>
      <w:lvlJc w:val="right"/>
      <w:pPr>
        <w:ind w:left="4320" w:hanging="360"/>
      </w:pPr>
    </w:lvl>
    <w:lvl w:ilvl="6">
      <w:start w:val="1"/>
      <w:numFmt w:val="upperRoman"/>
      <w:lvlText w:val="%7."/>
      <w:lvlJc w:val="right"/>
      <w:pPr>
        <w:ind w:left="5040" w:hanging="360"/>
      </w:pPr>
    </w:lvl>
    <w:lvl w:ilvl="7">
      <w:start w:val="1"/>
      <w:numFmt w:val="upperRoman"/>
      <w:lvlText w:val="%8."/>
      <w:lvlJc w:val="right"/>
      <w:pPr>
        <w:ind w:left="5760" w:hanging="360"/>
      </w:pPr>
    </w:lvl>
    <w:lvl w:ilvl="8">
      <w:start w:val="1"/>
      <w:numFmt w:val="upperRoman"/>
      <w:lvlText w:val="%9."/>
      <w:lvlJc w:val="right"/>
      <w:pPr>
        <w:ind w:left="6480" w:hanging="360"/>
      </w:pPr>
    </w:lvl>
  </w:abstractNum>
  <w:abstractNum w:abstractNumId="1" w15:restartNumberingAfterBreak="0">
    <w:nsid w:val="6C386CB9"/>
    <w:multiLevelType w:val="multilevel"/>
    <w:tmpl w:val="EB56E41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upperRoman"/>
      <w:lvlText w:val="%3."/>
      <w:lvlJc w:val="right"/>
      <w:pPr>
        <w:ind w:left="2160" w:hanging="360"/>
      </w:pPr>
    </w:lvl>
    <w:lvl w:ilvl="3">
      <w:start w:val="1"/>
      <w:numFmt w:val="upperRoman"/>
      <w:lvlText w:val="%4."/>
      <w:lvlJc w:val="right"/>
      <w:pPr>
        <w:ind w:left="2880" w:hanging="360"/>
      </w:pPr>
    </w:lvl>
    <w:lvl w:ilvl="4">
      <w:start w:val="1"/>
      <w:numFmt w:val="upperRoman"/>
      <w:lvlText w:val="%5."/>
      <w:lvlJc w:val="right"/>
      <w:pPr>
        <w:ind w:left="3600" w:hanging="360"/>
      </w:pPr>
    </w:lvl>
    <w:lvl w:ilvl="5">
      <w:start w:val="1"/>
      <w:numFmt w:val="upperRoman"/>
      <w:lvlText w:val="%6."/>
      <w:lvlJc w:val="right"/>
      <w:pPr>
        <w:ind w:left="4320" w:hanging="360"/>
      </w:pPr>
    </w:lvl>
    <w:lvl w:ilvl="6">
      <w:start w:val="1"/>
      <w:numFmt w:val="upperRoman"/>
      <w:lvlText w:val="%7."/>
      <w:lvlJc w:val="right"/>
      <w:pPr>
        <w:ind w:left="5040" w:hanging="360"/>
      </w:pPr>
    </w:lvl>
    <w:lvl w:ilvl="7">
      <w:start w:val="1"/>
      <w:numFmt w:val="upperRoman"/>
      <w:lvlText w:val="%8."/>
      <w:lvlJc w:val="right"/>
      <w:pPr>
        <w:ind w:left="5760" w:hanging="360"/>
      </w:pPr>
    </w:lvl>
    <w:lvl w:ilvl="8">
      <w:start w:val="1"/>
      <w:numFmt w:val="upperRoman"/>
      <w:lvlText w:val="%9."/>
      <w:lvlJc w:val="right"/>
      <w:pPr>
        <w:ind w:left="6480" w:hanging="360"/>
      </w:pPr>
    </w:lvl>
  </w:abstractNum>
  <w:abstractNum w:abstractNumId="2" w15:restartNumberingAfterBreak="0">
    <w:nsid w:val="70C2232E"/>
    <w:multiLevelType w:val="multilevel"/>
    <w:tmpl w:val="EB56E41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upperRoman"/>
      <w:lvlText w:val="%3."/>
      <w:lvlJc w:val="right"/>
      <w:pPr>
        <w:ind w:left="2160" w:hanging="360"/>
      </w:pPr>
    </w:lvl>
    <w:lvl w:ilvl="3">
      <w:start w:val="1"/>
      <w:numFmt w:val="upperRoman"/>
      <w:lvlText w:val="%4."/>
      <w:lvlJc w:val="right"/>
      <w:pPr>
        <w:ind w:left="2880" w:hanging="360"/>
      </w:pPr>
    </w:lvl>
    <w:lvl w:ilvl="4">
      <w:start w:val="1"/>
      <w:numFmt w:val="upperRoman"/>
      <w:lvlText w:val="%5."/>
      <w:lvlJc w:val="right"/>
      <w:pPr>
        <w:ind w:left="3600" w:hanging="360"/>
      </w:pPr>
    </w:lvl>
    <w:lvl w:ilvl="5">
      <w:start w:val="1"/>
      <w:numFmt w:val="upperRoman"/>
      <w:lvlText w:val="%6."/>
      <w:lvlJc w:val="right"/>
      <w:pPr>
        <w:ind w:left="4320" w:hanging="360"/>
      </w:pPr>
    </w:lvl>
    <w:lvl w:ilvl="6">
      <w:start w:val="1"/>
      <w:numFmt w:val="upperRoman"/>
      <w:lvlText w:val="%7."/>
      <w:lvlJc w:val="right"/>
      <w:pPr>
        <w:ind w:left="5040" w:hanging="360"/>
      </w:pPr>
    </w:lvl>
    <w:lvl w:ilvl="7">
      <w:start w:val="1"/>
      <w:numFmt w:val="upperRoman"/>
      <w:lvlText w:val="%8."/>
      <w:lvlJc w:val="right"/>
      <w:pPr>
        <w:ind w:left="5760" w:hanging="360"/>
      </w:pPr>
    </w:lvl>
    <w:lvl w:ilvl="8">
      <w:start w:val="1"/>
      <w:numFmt w:val="upperRoman"/>
      <w:lvlText w:val="%9."/>
      <w:lvlJc w:val="right"/>
      <w:pPr>
        <w:ind w:left="6480" w:hanging="360"/>
      </w:pPr>
    </w:lvl>
  </w:abstractNum>
  <w:abstractNum w:abstractNumId="3" w15:restartNumberingAfterBreak="0">
    <w:nsid w:val="71005941"/>
    <w:multiLevelType w:val="multilevel"/>
    <w:tmpl w:val="EB56E41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upperRoman"/>
      <w:lvlText w:val="%3."/>
      <w:lvlJc w:val="right"/>
      <w:pPr>
        <w:ind w:left="2160" w:hanging="360"/>
      </w:pPr>
    </w:lvl>
    <w:lvl w:ilvl="3">
      <w:start w:val="1"/>
      <w:numFmt w:val="upperRoman"/>
      <w:lvlText w:val="%4."/>
      <w:lvlJc w:val="right"/>
      <w:pPr>
        <w:ind w:left="2880" w:hanging="360"/>
      </w:pPr>
    </w:lvl>
    <w:lvl w:ilvl="4">
      <w:start w:val="1"/>
      <w:numFmt w:val="upperRoman"/>
      <w:lvlText w:val="%5."/>
      <w:lvlJc w:val="right"/>
      <w:pPr>
        <w:ind w:left="3600" w:hanging="360"/>
      </w:pPr>
    </w:lvl>
    <w:lvl w:ilvl="5">
      <w:start w:val="1"/>
      <w:numFmt w:val="upperRoman"/>
      <w:lvlText w:val="%6."/>
      <w:lvlJc w:val="right"/>
      <w:pPr>
        <w:ind w:left="4320" w:hanging="360"/>
      </w:pPr>
    </w:lvl>
    <w:lvl w:ilvl="6">
      <w:start w:val="1"/>
      <w:numFmt w:val="upperRoman"/>
      <w:lvlText w:val="%7."/>
      <w:lvlJc w:val="right"/>
      <w:pPr>
        <w:ind w:left="5040" w:hanging="360"/>
      </w:pPr>
    </w:lvl>
    <w:lvl w:ilvl="7">
      <w:start w:val="1"/>
      <w:numFmt w:val="upperRoman"/>
      <w:lvlText w:val="%8."/>
      <w:lvlJc w:val="right"/>
      <w:pPr>
        <w:ind w:left="5760" w:hanging="360"/>
      </w:pPr>
    </w:lvl>
    <w:lvl w:ilvl="8">
      <w:start w:val="1"/>
      <w:numFmt w:val="upperRoman"/>
      <w:lvlText w:val="%9."/>
      <w:lvlJc w:val="right"/>
      <w:pPr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DCE"/>
    <w:rsid w:val="001F6ECC"/>
    <w:rsid w:val="0035340A"/>
    <w:rsid w:val="005707E9"/>
    <w:rsid w:val="005719FA"/>
    <w:rsid w:val="006C3A7A"/>
    <w:rsid w:val="007E2D29"/>
    <w:rsid w:val="00895F42"/>
    <w:rsid w:val="008C2C70"/>
    <w:rsid w:val="00A84929"/>
    <w:rsid w:val="00A931D8"/>
    <w:rsid w:val="00B532C4"/>
    <w:rsid w:val="00C67C27"/>
    <w:rsid w:val="00CB314E"/>
    <w:rsid w:val="00CF2162"/>
    <w:rsid w:val="00D158B8"/>
    <w:rsid w:val="00F5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9336E"/>
  <w15:docId w15:val="{87B1410C-1538-4826-9DF0-C32C77188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n" w:eastAsia="pl-PL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next w:val="Tekstpodstawowy"/>
    <w:link w:val="Nagwek7Znak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next w:val="Tekstpodstawowy"/>
    <w:link w:val="Nagwek8Znak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next w:val="Tekstpodstawowy"/>
    <w:link w:val="Nagwek9Znak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Tekstpodstawowy">
    <w:name w:val="Body Text"/>
    <w:qFormat/>
    <w:pPr>
      <w:spacing w:before="180" w:after="180"/>
    </w:pPr>
  </w:style>
  <w:style w:type="paragraph" w:customStyle="1" w:styleId="FirstParagraph">
    <w:name w:val="First Paragraph"/>
    <w:basedOn w:val="Tekstpodstawowy"/>
    <w:next w:val="Tekstpodstawowy"/>
    <w:qFormat/>
  </w:style>
  <w:style w:type="paragraph" w:customStyle="1" w:styleId="Compact">
    <w:name w:val="Compact"/>
    <w:basedOn w:val="Tekstpodstawowy"/>
    <w:qFormat/>
    <w:pPr>
      <w:spacing w:before="36" w:after="36"/>
    </w:pPr>
  </w:style>
  <w:style w:type="character" w:customStyle="1" w:styleId="TytuZnak">
    <w:name w:val="Tytuł Znak"/>
    <w:basedOn w:val="Domylnaczcionkaakapitu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Tekstpodstawowy"/>
    <w:qFormat/>
    <w:pPr>
      <w:keepNext/>
      <w:keepLines/>
      <w:jc w:val="center"/>
    </w:pPr>
  </w:style>
  <w:style w:type="paragraph" w:styleId="Data">
    <w:name w:val="Date"/>
    <w:next w:val="Tekstpodstawowy"/>
    <w:qFormat/>
    <w:pPr>
      <w:keepNext/>
      <w:keepLines/>
      <w:jc w:val="center"/>
    </w:pPr>
  </w:style>
  <w:style w:type="paragraph" w:customStyle="1" w:styleId="AbstractTitle">
    <w:name w:val="Abstract Title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next w:val="Tekstpodstawowy"/>
    <w:qFormat/>
    <w:pPr>
      <w:keepNext/>
      <w:keepLines/>
      <w:spacing w:before="100" w:after="300"/>
    </w:pPr>
    <w:rPr>
      <w:sz w:val="20"/>
      <w:szCs w:val="20"/>
    </w:rPr>
  </w:style>
  <w:style w:type="paragraph" w:styleId="Bibliografia">
    <w:name w:val="Bibliography"/>
    <w:qFormat/>
  </w:style>
  <w:style w:type="character" w:customStyle="1" w:styleId="Nagwek1Znak">
    <w:name w:val="Nagłówek 1 Znak"/>
    <w:basedOn w:val="Domylnaczcionkaakapitu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Tekstblokowy">
    <w:name w:val="Block Text"/>
    <w:basedOn w:val="Tekstpodstawowy"/>
    <w:next w:val="Tekstpodstawowy"/>
    <w:uiPriority w:val="9"/>
    <w:unhideWhenUsed/>
    <w:qFormat/>
    <w:pPr>
      <w:spacing w:before="100" w:after="100"/>
      <w:ind w:left="480" w:right="480"/>
    </w:pPr>
  </w:style>
  <w:style w:type="paragraph" w:styleId="Tekstprzypisudolnego">
    <w:name w:val="footnote text"/>
    <w:uiPriority w:val="9"/>
    <w:unhideWhenUsed/>
    <w:qFormat/>
  </w:style>
  <w:style w:type="paragraph" w:customStyle="1" w:styleId="FootnoteBlockText">
    <w:name w:val="Footnote Block Text"/>
    <w:basedOn w:val="Tekstprzypisudolnego"/>
    <w:next w:val="Tekstprzypisudolnego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</w:style>
  <w:style w:type="paragraph" w:styleId="Legenda">
    <w:name w:val="caption"/>
    <w:link w:val="LegendaZnak"/>
    <w:pPr>
      <w:spacing w:after="120"/>
    </w:pPr>
    <w:rPr>
      <w:i/>
    </w:rPr>
  </w:style>
  <w:style w:type="paragraph" w:customStyle="1" w:styleId="TableCaption">
    <w:name w:val="Table Caption"/>
    <w:basedOn w:val="Legenda"/>
    <w:pPr>
      <w:keepNext/>
    </w:pPr>
  </w:style>
  <w:style w:type="paragraph" w:customStyle="1" w:styleId="ImageCaption">
    <w:name w:val="Image Caption"/>
    <w:basedOn w:val="Legenda"/>
  </w:style>
  <w:style w:type="paragraph" w:customStyle="1" w:styleId="Figure">
    <w:name w:val="Figure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LegendaZnak">
    <w:name w:val="Legenda Znak"/>
    <w:basedOn w:val="Domylnaczcionkaakapitu"/>
    <w:link w:val="Legenda"/>
  </w:style>
  <w:style w:type="character" w:customStyle="1" w:styleId="VerbatimChar">
    <w:name w:val="Verbatim Char"/>
    <w:basedOn w:val="LegendaZnak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LegendaZnak"/>
  </w:style>
  <w:style w:type="character" w:styleId="Odwoanieprzypisudolnego">
    <w:name w:val="footnote reference"/>
    <w:basedOn w:val="LegendaZnak"/>
    <w:rPr>
      <w:vertAlign w:val="superscript"/>
    </w:rPr>
  </w:style>
  <w:style w:type="character" w:styleId="Hipercze">
    <w:name w:val="Hyperlink"/>
    <w:basedOn w:val="LegendaZnak"/>
    <w:rPr>
      <w:color w:val="156082" w:themeColor="accent1"/>
    </w:rPr>
  </w:style>
  <w:style w:type="paragraph" w:styleId="Nagwekspisutreci">
    <w:name w:val="TOC Heading"/>
    <w:next w:val="Tekstpodstawowy"/>
    <w:uiPriority w:val="39"/>
    <w:unhideWhenUsed/>
    <w:qFormat/>
    <w:pPr>
      <w:spacing w:before="240" w:line="259" w:lineRule="auto"/>
    </w:pPr>
  </w:style>
  <w:style w:type="paragraph" w:customStyle="1" w:styleId="SourceCode">
    <w:name w:val="Source Code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Podtytu">
    <w:name w:val="Subtitle"/>
    <w:basedOn w:val="Normalny"/>
    <w:next w:val="Normalny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  <w:style w:type="paragraph" w:styleId="Bezodstpw">
    <w:name w:val="No Spacing"/>
    <w:qFormat/>
    <w:rsid w:val="00895F42"/>
    <w:pPr>
      <w:spacing w:after="240" w:line="300" w:lineRule="auto"/>
      <w:contextualSpacing/>
    </w:pPr>
    <w:rPr>
      <w:rFonts w:ascii="Calibri" w:eastAsia="Calibri" w:hAnsi="Calibri" w:cs="Times New Roman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+VnDIUYP2vQTGdPmvN1Ir0xfFQ==">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947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Perłowska Barbara</cp:lastModifiedBy>
  <cp:revision>14</cp:revision>
  <dcterms:created xsi:type="dcterms:W3CDTF">2026-01-07T21:30:00Z</dcterms:created>
  <dcterms:modified xsi:type="dcterms:W3CDTF">2026-01-09T11:23:00Z</dcterms:modified>
</cp:coreProperties>
</file>